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60" w:rsidRPr="00572F60" w:rsidRDefault="00572F60" w:rsidP="00572F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bookmarkStart w:id="0" w:name="_GoBack"/>
      <w:r w:rsidRPr="00572F6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ПРАВИТЕЛЬСТВО РОССИЙСКОЙ ФЕДЕРАЦИИ</w:t>
      </w:r>
    </w:p>
    <w:p w:rsidR="00572F60" w:rsidRPr="00572F60" w:rsidRDefault="00572F60" w:rsidP="00572F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ПОСТАНОВЛЕНИЕ</w:t>
      </w:r>
    </w:p>
    <w:p w:rsidR="00572F60" w:rsidRPr="00572F60" w:rsidRDefault="00572F60" w:rsidP="00572F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от 29 декабря 2022 года N 2497</w:t>
      </w:r>
      <w:r w:rsidRPr="00572F6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 </w:t>
      </w:r>
      <w:hyperlink r:id="rId5" w:anchor="7D80K5" w:history="1">
        <w:r w:rsidRPr="00572F60">
          <w:rPr>
            <w:rFonts w:ascii="Arial" w:eastAsia="Times New Roman" w:hAnsi="Arial" w:cs="Arial"/>
            <w:b/>
            <w:bCs/>
            <w:color w:val="3451A0"/>
            <w:sz w:val="18"/>
            <w:szCs w:val="18"/>
            <w:u w:val="single"/>
            <w:lang w:eastAsia="ru-RU"/>
          </w:rPr>
          <w:t>Программе государственных гарантий бесплатного оказания гражданам медицинской помощи на 2023 год и на плановый период 2024 и 2025 годов</w:t>
        </w:r>
      </w:hyperlink>
    </w:p>
    <w:bookmarkEnd w:id="0"/>
    <w:p w:rsidR="00572F60" w:rsidRPr="00572F60" w:rsidRDefault="00572F60" w:rsidP="00572F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постановляет: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Утвердить прилагаемую </w:t>
      </w:r>
      <w:hyperlink r:id="rId6" w:anchor="7D80K5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Программу государственных гарантий бесплатного оказания гражданам медицинской помощи на 2023 год и на плановый период 2024 и 2025 годов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Министерству здравоохранения Российской Федерации: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внести в установленном порядке в Правительство Российской Федерации: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 1 июля 2023 г. - доклад о реализации в 2022 году </w:t>
      </w:r>
      <w:hyperlink r:id="rId7" w:anchor="7DG0K9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Программы государственных гарантий бесплатного оказания гражданам медицинской помощи на 2022 год и на плановый период 2023 и 2024 годов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утвержденной </w:t>
      </w:r>
      <w:hyperlink r:id="rId8" w:anchor="64S0IJ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постановлением Правительства Российской Федерации от 28 декабря 2021 г. N 2505 "О Программе государственных гарантий бесплатного оказания гражданам медицинской помощи на 2022 год и на плановый период 2023 и</w:t>
        </w:r>
        <w:proofErr w:type="gramEnd"/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 xml:space="preserve"> 2024 годов"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 15 октября 2023 г. - проект программы государственных гарантий бесплатного оказания гражданам медицинской помощи на 2024 год и на плановый период 2025 и 2026 годов;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совместно с Федеральным фондом обязательного медицинского страхования давать разъяснения по следующим вопросам: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</w:t>
      </w: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учредителя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годов, в том числе совместно с Федеральным фондом обязательного медицинского страхования, территориальных программ обязательного медицинского страхования;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г) до 1 марта 2023 г.: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установить 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установить критерии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рекомендациями, </w:t>
      </w: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оплата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которой осуществляется за счет средств обязательного медицинского страхования.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Установить, что в 2023 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но не более суммы затрат на приобретение основных средств и материальных запасов за счет средств обязательного медицинского страхования в 2022 году.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Установить, что в 2023 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год, распределенного медицинской организации в порядке, предусмотренном </w:t>
      </w:r>
      <w:hyperlink r:id="rId9" w:anchor="AA20NU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частью 3_2</w:t>
        </w:r>
        <w:proofErr w:type="gramEnd"/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 xml:space="preserve"> статьи 35 Федерального закона "Об обязательном медицинском страховании в Российской Федерации"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 году.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Рекомендовать органам государственной власти субъектов Российской Федерации утвердить до 30 декабря 2022 г. территориальные программы государственных гарантий бесплатного оказания гражданам медицинской помощи на 2023 год и 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на плановый период 2024 и 2025 годов.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Председатель Правительства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Российской Федерации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М.Мишустин</w:t>
      </w:r>
      <w:proofErr w:type="spellEnd"/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УТВЕРЖДЕНА</w:t>
      </w:r>
      <w:proofErr w:type="gramEnd"/>
      <w:r w:rsidRPr="00572F6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  <w:t>постановлением Правительства</w:t>
      </w:r>
      <w:r w:rsidRPr="00572F6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  <w:t>Российской Федерации</w:t>
      </w:r>
      <w:r w:rsidRPr="00572F6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br/>
        <w:t>от 29 декабря 2022 года N 2497</w:t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Программа государственных гарантий бесплатного оказания гражданам медицинской помощи на 2023 год и на плановый период 2024 и 2025 годов</w:t>
      </w:r>
    </w:p>
    <w:p w:rsidR="00572F60" w:rsidRPr="00572F60" w:rsidRDefault="00572F60" w:rsidP="00572F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I. Общие положения</w:t>
      </w:r>
    </w:p>
    <w:p w:rsidR="00572F60" w:rsidRPr="00572F60" w:rsidRDefault="00572F60" w:rsidP="00572F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соответствии с </w:t>
      </w:r>
      <w:hyperlink r:id="rId10" w:anchor="64U0IK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Федеральным законом "Об основах охраны здоровья граждан в Российской Федерации"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Программа государственных гарантий бесплатного оказания гражданам медицинской помощи на 2023 год и на плановый период 2024 и 2025 годов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обязательного медицинского страхования, средние нормативы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подушевые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 </w:t>
      </w:r>
      <w:hyperlink r:id="rId11" w:anchor="A9K0NM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частями 3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2" w:anchor="AA00NS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4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13" w:anchor="BP20OU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6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hyperlink r:id="rId14" w:anchor="BP80P1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9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и </w:t>
      </w:r>
      <w:hyperlink r:id="rId15" w:anchor="BPC0P3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11 статьи 37 Федерального закона "Об основах охраны здоровья граждан в Российской Федерации"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 обязательного медицинского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страхования).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соответствии с </w:t>
      </w:r>
      <w:hyperlink r:id="rId16" w:anchor="64U0IK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Конституцией Российской Федерации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 </w:t>
      </w:r>
      <w:hyperlink r:id="rId17" w:anchor="64U0IK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Федеральным законом "Об основах охраны здоровья граждан в Российской Федерации"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обеспечивают в пределах своей компетенции доступность медицинской помощи.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исполнительным органам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формировании территориальной программы государственных гарантий учитываются порядки оказания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 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программы обязательного медицинского страхования.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II. Перечень видов, форм и условий предоставления медицинской помощи, оказание которой осуществляется бесплатно</w:t>
      </w:r>
    </w:p>
    <w:p w:rsidR="00572F60" w:rsidRPr="00572F60" w:rsidRDefault="00572F60" w:rsidP="00572F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специализированная, в том числе высокотехнологичная, медицинская помощь;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скорая, в том числе скорая специализированная, медицинская помощь;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Понятие "медицинская организация" используется в Программе в значении, определенном в </w:t>
      </w:r>
      <w:hyperlink r:id="rId18" w:anchor="64U0IK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федеральных законах "Об основах охраны здоровья граждан в Российской Федерации"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и </w:t>
      </w:r>
      <w:hyperlink r:id="rId19" w:anchor="64U0IK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"Об обязательном медицинском страховании в Российской Федерации"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содержащим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 </w:t>
      </w:r>
      <w:hyperlink r:id="rId20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приложению N 1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*.</w:t>
      </w:r>
    </w:p>
    <w:p w:rsidR="00572F60" w:rsidRPr="00572F60" w:rsidRDefault="00572F60" w:rsidP="00572F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</w:t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 Приложение см. по ссылке. - Примечание изготовителя базы данных.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ситуаций и стихийных бедствий).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Медицинские организации, функции и полномочия </w:t>
      </w: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учредителей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вправе осуществлять медицинскую эвакуацию.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дому).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случае проживания пациента в отдаленном или труднодоступном населенном пункте информация о пациенте, нуждающемся в продолжени</w:t>
      </w: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этапности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обучение по оказанию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такой помощи.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 </w:t>
      </w:r>
      <w:hyperlink r:id="rId21" w:anchor="7DU0KC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части 2 статьи 6 Федерального закона "Об основах охраны здоровья граждан в Российской Федерации"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 том числе в целях предоставления такому пациенту социальных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 к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неинвазивных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лекарственных формах, в том числе применяемых у детей.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целях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здравоохранения, а также страховые медицинские организации, в которых застрахованы лица, находящиеся в стационарных организациях социального обслуживания, и территориальный фонд обязательного медицинского страхования соответствующего субъекта Российской Федерации.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расстройствах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Медицинская помощь оказывается в следующих формах: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отсрочка оказания которой на определенное время не повлечет за собой ухудшение состояния пациента, угрозу его жизни и здоровью.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организаций, в порядке, установленном </w:t>
      </w:r>
      <w:hyperlink r:id="rId22" w:anchor="BQI0P9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пунктом 21 части 1 статьи 14 Федерального закона "Об основах охраны здоровья граждан в Российской Федерации"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том числе при оказании медицинской помощи в неотложной форме, включая медицинскую помощь при острых респираторных вирусных инфекциях и новой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коронавирусной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инфекции.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572F60" w:rsidRPr="00572F60" w:rsidRDefault="00572F60" w:rsidP="00572F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Гражданин имеет право на бесплатное получение медицинской помощи по видам, формам и условиям ее оказания в соответствии с </w:t>
      </w:r>
      <w:hyperlink r:id="rId23" w:anchor="7DE0K8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разделом II Программы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при следующих заболеваниях и состояниях: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инфекционные и паразитарные болезни;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новообразования;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болезни эндокринной системы;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расстройства питания и нарушения обмена веществ;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болезни нервной системы;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болезни крови, кроветворных органов;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отдельные нарушения, вовлекающие иммунный механизм;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болезни глаза и его придаточного аппарата;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болезни уха и сосцевидного отростка;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болезни системы кровообращения;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болезни органов дыхания;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болезни мочеполовой системы;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болезни кожи и подкожной клетчатки;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болезни костно-мышечной системы и соединительной ткани;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травмы, отравления и некоторые другие последствия воздействия внешних причин;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врожденные аномалии (пороки развития);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деформации и хромосомные нарушения;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беременность, роды, послеродовой период и аборты;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отдельные состояния, возникающие у детей в перинатальный период;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психические расстройства и расстройства поведения;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симптомы, признаки и отклонения от нормы, не отнесенные к заболеваниям и состояниям.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соответствии с законодательством Российской Федерации отдельные категории граждан имеют право: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обеспечение лекарственными препаратами в соответствии с </w:t>
      </w:r>
      <w:hyperlink r:id="rId24" w:anchor="7DK0KB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разделом V Программы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пренатальную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(дородовую) диагностику нарушений развития ребенка - беременные женщины;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аудиологический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скрининг - новорожденные дети и дети первого года жизни;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неонатальный скрининг (</w:t>
      </w: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классическая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фенилкетонурия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;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фенилкетонурия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B; врожденный гипотиреоз с диффузным зобом; врожденный гипотиреоз без зоба; кистозный фиброз неуточненный (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муковисцидоз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); нарушение обмена галактозы (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галактоземия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 расширенный неонатальный скрининг (недостаточность других уточненных витаминов группы B (дефицит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биотинидазы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(дефицит биотин-зависимой карбоксилазы; недостаточность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синтетазы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голокарбоксилаз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(недостаточность биотина); другие виды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гиперфенилаланинемии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(дефицит синтеза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биоптерина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тетрагидробиоптерина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), дефицит реактивации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биоптерина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тетрагидробиоптерина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); нарушения обмена тирозина (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тирозинемия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); болезнь с запахом кленового сиропа мочи (болезнь "кленового сиропа"); другие виды нарушений обмена аминокислот с разветвленной цепью (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пропионовая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ацидемия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);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метилмалоновая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метилмалонил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КоА-мутазы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ацидемия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метилмалоновая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);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метилмалоновая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ацидемия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(недостаточность кобаламина A);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метилмалоновая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ацидемия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(недостаточность кобаламина B);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метилмалоновая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ацидемия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(дефицит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метилмалонил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КоА-эпимеразы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);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метилмалоновая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ацидемия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(недостаточность кобаламина D);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метилмалоновая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ацидемия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(недостаточность кобаламина C); изовалериановая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ацидемия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ацидемия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изовалериановая); 3-гидрокси-3-метилглутаровая недостаточность; бета-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кетотиолазная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недостаточность; нарушения обмена жирных кислот (первичная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карнитиновая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недостаточность;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среднецепочечная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ацил-КоА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дегидрогеназная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недостаточность; длинноцепочечная ацетил-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КоА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дегидрогеназная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недостаточность (дефицит очень длинной цепи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ацил-КоА-дегидрогеназы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(VLCAD);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очень длинноцепочечная ацетил-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КоА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дегидрогеназная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недостаточность (дефицит очень длинной цепи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ацил-КоА-дегидрогеназы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(VLCAD); недостаточность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митохондриального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трифункционального белка; недостаточность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карнитинпальмитоилтрансферазы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тип I; недостаточность карнитин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пальмитоилтрансферазы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тип II; недостаточность карнитин/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ацилкарнитинтранслоказы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 нарушения обмена серосодержащих аминокислот (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гомоцистинурия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); нарушения обмена цикла мочевины (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цитруллинемия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тип I;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аргиназная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недостаточность); нарушения обмена лизина и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гидроксилизина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глутаровая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ацидемия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тип I;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глутаровая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ацидемия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тип II (рибофлавин - чувствительная форма); детская спинальная мышечная атрофия, I тип (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Вердинга-Гоффмана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); другие наследственные спинальные мышечные атрофии; первичные иммунодефициты) - новорожденные, родившиеся живыми.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</w:t>
      </w: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медико-социальной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помощи, в том числе по профилактике прерывания беременности.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жизнеугрожающими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хроническими заболеваниями, в том числе прогрессирующими редкими (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орфанными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федеральный перечень реабилитационных мероприятий, технических средств реабилитации и услуг, предоставляемых инвалиду.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здравоохранения Российской Федерации.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IV. Базовая программа обязательного медицинского страхования</w:t>
      </w:r>
    </w:p>
    <w:p w:rsidR="00572F60" w:rsidRPr="00572F60" w:rsidRDefault="00572F60" w:rsidP="00572F6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Базовая программа обязательного медицинского страхования является составной частью Программы.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рамках базовой программы обязательного медицинского страхования: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 </w:t>
      </w:r>
      <w:hyperlink r:id="rId25" w:anchor="7DG0K9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разделе III Программы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за исключением заболеваний, передаваемых половым путем, вызванных вирусом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осуществляются профилактические мероприятия, включая диспансеризацию, диспансерное наблюдение (при заболеваниях и состояниях, указанных в </w:t>
      </w:r>
      <w:hyperlink r:id="rId26" w:anchor="7DG0K9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разделе III Программы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 </w:t>
      </w:r>
      <w:hyperlink r:id="rId27" w:anchor="7DG0K9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разделе III Программы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мероприятия по медицинской реабилитации, осуществляемой в медицинских организациях амбулаторно</w:t>
      </w:r>
      <w:proofErr w:type="gram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аудиологическому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Граждане, переболевшие новой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коронавирусной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инфекцией (COVID-19), вправе пройти углубленную диспансеризацию, включающую исследования и иные медицинские вмешательства по перечню согласно </w:t>
      </w:r>
      <w:hyperlink r:id="rId28" w:history="1">
        <w:r w:rsidRPr="00572F60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приложению N 2</w:t>
        </w:r>
      </w:hyperlink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*.</w:t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количество случаев госпитализации с диагнозом "хроническая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обструктивная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болезнь легких" на 100 тыс. населения;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количество случаев госпитализации с диагнозом "хроническая сердечная недостаточность" на 100 тыс. населения в год;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количество случаев госпитализации с диагнозом "гипертоническая болезнь" на 100 тыс. населения в год;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количество случаев госпитализации с диагнозом "сахарный диабет" на 100 тыс. населения в год;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количество пациентов с гепатитом C, получивших противовирусную терапию, на 100 тыс. населения в год;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"Здравоохранение" и "Демография".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Критериями доступности медицинской помощи, оказываемой федеральными медицинскими организациями, являются: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доля объема специализированной, в том числе высокотехнологичной, медицинской помощи с коэффициентом относительной </w:t>
      </w:r>
      <w:proofErr w:type="spellStart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затратоемкости</w:t>
      </w:r>
      <w:proofErr w:type="spellEnd"/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равным 2 и более, в объеме оказанной специализированной, в том числе высокотехнологичной, медицинской помощи (в 2023 году - не менее 60 процентов, в 2024 и 2025 годах - не менее 70 процентов);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End"/>
    </w:p>
    <w:p w:rsidR="00572F60" w:rsidRPr="00572F60" w:rsidRDefault="00572F60" w:rsidP="00572F6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заболеваниях и состояниях, входящих в базовую программу обязательного медицинского страхования, - не менее 20 процентов).</w:t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572F6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FD7BF1" w:rsidRPr="00572F60" w:rsidRDefault="00FD7BF1" w:rsidP="00572F6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D7BF1" w:rsidRPr="00572F60" w:rsidSect="00A619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14"/>
    <w:rsid w:val="00177014"/>
    <w:rsid w:val="00572F60"/>
    <w:rsid w:val="00A619D4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5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8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32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89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33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5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797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1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097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709765" TargetMode="External"/><Relationship Id="rId13" Type="http://schemas.openxmlformats.org/officeDocument/2006/relationships/hyperlink" Target="https://docs.cntd.ru/document/902312609" TargetMode="External"/><Relationship Id="rId18" Type="http://schemas.openxmlformats.org/officeDocument/2006/relationships/hyperlink" Target="https://docs.cntd.ru/document/902312609" TargetMode="External"/><Relationship Id="rId26" Type="http://schemas.openxmlformats.org/officeDocument/2006/relationships/hyperlink" Target="https://docs.cntd.ru/document/13004932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312609" TargetMode="External"/><Relationship Id="rId7" Type="http://schemas.openxmlformats.org/officeDocument/2006/relationships/hyperlink" Target="https://docs.cntd.ru/document/727709765" TargetMode="External"/><Relationship Id="rId12" Type="http://schemas.openxmlformats.org/officeDocument/2006/relationships/hyperlink" Target="https://docs.cntd.ru/document/902312609" TargetMode="External"/><Relationship Id="rId17" Type="http://schemas.openxmlformats.org/officeDocument/2006/relationships/hyperlink" Target="https://docs.cntd.ru/document/902312609" TargetMode="External"/><Relationship Id="rId25" Type="http://schemas.openxmlformats.org/officeDocument/2006/relationships/hyperlink" Target="https://docs.cntd.ru/document/13004932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04937" TargetMode="External"/><Relationship Id="rId20" Type="http://schemas.openxmlformats.org/officeDocument/2006/relationships/hyperlink" Target="https://docs.cntd.ru/document/1300493218/outerdata/130049503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1300493218" TargetMode="External"/><Relationship Id="rId11" Type="http://schemas.openxmlformats.org/officeDocument/2006/relationships/hyperlink" Target="https://docs.cntd.ru/document/902312609" TargetMode="External"/><Relationship Id="rId24" Type="http://schemas.openxmlformats.org/officeDocument/2006/relationships/hyperlink" Target="https://docs.cntd.ru/document/1300493218" TargetMode="External"/><Relationship Id="rId5" Type="http://schemas.openxmlformats.org/officeDocument/2006/relationships/hyperlink" Target="https://docs.cntd.ru/document/1300493218" TargetMode="External"/><Relationship Id="rId15" Type="http://schemas.openxmlformats.org/officeDocument/2006/relationships/hyperlink" Target="https://docs.cntd.ru/document/902312609" TargetMode="External"/><Relationship Id="rId23" Type="http://schemas.openxmlformats.org/officeDocument/2006/relationships/hyperlink" Target="https://docs.cntd.ru/document/1300493218" TargetMode="External"/><Relationship Id="rId28" Type="http://schemas.openxmlformats.org/officeDocument/2006/relationships/hyperlink" Target="https://docs.cntd.ru/document/1300493218/outerdata/1300495031" TargetMode="External"/><Relationship Id="rId10" Type="http://schemas.openxmlformats.org/officeDocument/2006/relationships/hyperlink" Target="https://docs.cntd.ru/document/902312609" TargetMode="External"/><Relationship Id="rId19" Type="http://schemas.openxmlformats.org/officeDocument/2006/relationships/hyperlink" Target="https://docs.cntd.ru/document/902247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47618" TargetMode="External"/><Relationship Id="rId14" Type="http://schemas.openxmlformats.org/officeDocument/2006/relationships/hyperlink" Target="https://docs.cntd.ru/document/902312609" TargetMode="External"/><Relationship Id="rId22" Type="http://schemas.openxmlformats.org/officeDocument/2006/relationships/hyperlink" Target="https://docs.cntd.ru/document/902312609" TargetMode="External"/><Relationship Id="rId27" Type="http://schemas.openxmlformats.org/officeDocument/2006/relationships/hyperlink" Target="https://docs.cntd.ru/document/130049321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6427</Words>
  <Characters>36638</Characters>
  <Application>Microsoft Office Word</Application>
  <DocSecurity>0</DocSecurity>
  <Lines>305</Lines>
  <Paragraphs>85</Paragraphs>
  <ScaleCrop>false</ScaleCrop>
  <Company/>
  <LinksUpToDate>false</LinksUpToDate>
  <CharactersWithSpaces>42980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</dc:creator>
  <cp:keywords/>
  <dc:description/>
  <cp:lastModifiedBy>Lambre</cp:lastModifiedBy>
  <cp:revision>2</cp:revision>
  <dcterms:created xsi:type="dcterms:W3CDTF">2023-02-19T05:24:00Z</dcterms:created>
  <dcterms:modified xsi:type="dcterms:W3CDTF">2023-02-19T05:24:00Z</dcterms:modified>
</cp:coreProperties>
</file>